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word/_rels/document.xml.rels" ContentType="application/vnd.openxmlformats-package.relationships+xml"/>
  <Override PartName="/word/fontTable.xml" ContentType="application/vnd.openxmlformats-officedocument.wordprocessingml.fontTable+xml"/>
  <Override PartName="/word/media/image1.png" ContentType="image/png"/>
  <Override PartName="/word/media/image2.png" ContentType="image/png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Standard"/>
        <w:rPr/>
      </w:pPr>
      <w:r>
        <w:rPr>
          <w:rFonts w:eastAsia="Calibri"/>
          <w:b/>
          <w:bCs/>
          <w:szCs w:val="28"/>
        </w:rPr>
        <w:t xml:space="preserve">   </w:t>
      </w:r>
      <w:r>
        <w:rPr/>
        <w:drawing>
          <wp:inline distT="0" distB="0" distL="0" distR="0">
            <wp:extent cx="1981200" cy="733425"/>
            <wp:effectExtent l="0" t="0" r="0" b="0"/>
            <wp:docPr id="1" name="Рисунок 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Calibri"/>
          <w:b/>
          <w:bCs/>
          <w:szCs w:val="28"/>
        </w:rPr>
        <w:t xml:space="preserve">                                                                      </w:t>
      </w:r>
    </w:p>
    <w:p>
      <w:pPr>
        <w:pStyle w:val="Standard"/>
        <w:rPr>
          <w:rFonts w:eastAsia="Calibri"/>
          <w:b/>
          <w:bCs/>
          <w:szCs w:val="28"/>
        </w:rPr>
      </w:pPr>
      <w:r>
        <w:rPr>
          <w:rFonts w:eastAsia="Calibri"/>
          <w:b/>
          <w:bCs/>
          <w:szCs w:val="28"/>
        </w:rPr>
      </w:r>
    </w:p>
    <w:p>
      <w:pPr>
        <w:pStyle w:val="Standard"/>
        <w:jc w:val="right"/>
        <w:rPr>
          <w:rFonts w:ascii="Times New Roman" w:hAnsi="Times New Roman" w:eastAsia="Times New Roman" w:cs="Times New Roman"/>
          <w:b/>
          <w:bCs/>
          <w:sz w:val="32"/>
          <w:szCs w:val="32"/>
          <w:highlight w:val="none"/>
        </w:rPr>
      </w:pPr>
      <w:r>
        <w:rPr>
          <w:rFonts w:eastAsia="Times New Roman" w:cs="Times New Roman" w:ascii="Times New Roman" w:hAnsi="Times New Roman"/>
          <w:b/>
          <w:bCs/>
          <w:sz w:val="32"/>
          <w:szCs w:val="28"/>
        </w:rPr>
        <w:t>ПРЕСС-РЕЛИЗ</w:t>
      </w:r>
      <w:r>
        <w:rPr>
          <w:rFonts w:eastAsia="Times New Roman" w:cs="Times New Roman" w:ascii="Times New Roman" w:hAnsi="Times New Roman"/>
          <w:b/>
          <w:bCs/>
          <w:sz w:val="32"/>
          <w:szCs w:val="32"/>
        </w:rPr>
        <w:br/>
      </w:r>
      <w:r>
        <w:rPr>
          <w:rFonts w:eastAsia="Times New Roman" w:cs="Times New Roman" w:ascii="Times New Roman" w:hAnsi="Times New Roman"/>
          <w:b w:val="false"/>
          <w:bCs w:val="false"/>
          <w:sz w:val="32"/>
          <w:szCs w:val="32"/>
        </w:rPr>
        <w:t>22.09</w:t>
      </w:r>
      <w:r>
        <w:rPr>
          <w:rFonts w:eastAsia="Times New Roman" w:cs="Times New Roman" w:ascii="Times New Roman" w:hAnsi="Times New Roman"/>
          <w:b w:val="false"/>
          <w:bCs w:val="false"/>
          <w:sz w:val="30"/>
          <w:szCs w:val="30"/>
        </w:rPr>
        <w:t>.2025</w:t>
      </w:r>
    </w:p>
    <w:p>
      <w:pPr>
        <w:pStyle w:val="Normal"/>
        <w:jc w:val="left"/>
        <w:rPr>
          <w:rFonts w:ascii="Times New Roman" w:hAnsi="Times New Roman" w:cs="Times New Roman"/>
          <w:b/>
          <w:bCs/>
          <w:sz w:val="28"/>
          <w:szCs w:val="28"/>
          <w:highlight w:val="none"/>
        </w:rPr>
      </w:pPr>
      <w:r>
        <w:rPr>
          <w:rFonts w:cs="Times New Roman" w:ascii="Times New Roman" w:hAnsi="Times New Roman"/>
        </w:rPr>
        <w:br/>
      </w:r>
      <w:r>
        <w:rPr>
          <w:rFonts w:eastAsia="Times New Roman" w:cs="Times New Roman" w:ascii="Times New Roman" w:hAnsi="Times New Roman"/>
          <w:b/>
          <w:bCs/>
          <w:sz w:val="28"/>
          <w:szCs w:val="28"/>
        </w:rPr>
        <w:t>Важные изменения в законодательстве о банкротстве: на что нужно обратить внимание арбитражным управляющим</w:t>
      </w:r>
    </w:p>
    <w:p>
      <w:pPr>
        <w:pStyle w:val="Normal"/>
        <w:spacing w:lineRule="auto" w:line="240" w:before="0" w:afterAutospacing="0" w:after="0"/>
        <w:ind w:firstLine="708"/>
        <w:jc w:val="both"/>
        <w:rPr>
          <w:rFonts w:ascii="Times New Roman" w:hAnsi="Times New Roman" w:eastAsia="Times New Roman" w:cs="Times New Roman"/>
          <w:sz w:val="28"/>
          <w:szCs w:val="28"/>
          <w:highlight w:val="none"/>
        </w:rPr>
      </w:pPr>
      <w:r>
        <w:rPr>
          <w:rFonts w:eastAsia="Times New Roman" w:cs="Times New Roman" w:ascii="Times New Roman" w:hAnsi="Times New Roman"/>
          <w:sz w:val="28"/>
          <w:szCs w:val="28"/>
        </w:rPr>
        <w:t xml:space="preserve">С 11 августа 2025 года вступили в силу изменения в Федеральный закон от 26.10.2002 № 127-ФЗ «О несостоятельности (банкротстве)», в том числе касаемо порядка работы арбитражных управляющих и их обязанностей при взаимодействии с Единым федеральным реестром сведений о банкротстве. </w:t>
      </w:r>
      <w:r>
        <w:rPr>
          <w:rFonts w:eastAsia="Times New Roman" w:cs="Times New Roman" w:ascii="Times New Roman" w:hAnsi="Times New Roman"/>
          <w:sz w:val="28"/>
          <w:szCs w:val="28"/>
        </w:rPr>
        <w:tab/>
        <w:t xml:space="preserve">Согласно изменениям, не позднее чем в течение </w:t>
      </w:r>
      <w:r>
        <w:rPr>
          <w:rFonts w:eastAsia="Times New Roman" w:cs="Times New Roman" w:ascii="Times New Roman" w:hAnsi="Times New Roman"/>
          <w:sz w:val="28"/>
          <w:szCs w:val="28"/>
          <w:highlight w:val="white"/>
        </w:rPr>
        <w:t xml:space="preserve">десяти дней с даты </w:t>
      </w:r>
      <w:r>
        <w:rPr>
          <w:rFonts w:eastAsia="Times New Roman" w:cs="Times New Roman" w:ascii="Times New Roman" w:hAnsi="Times New Roman"/>
          <w:sz w:val="28"/>
          <w:szCs w:val="28"/>
        </w:rPr>
        <w:t>вынесения судебного акта о завершении процедуры, применявшейся в деле о банкротстве, арбитражный управляющий включает в ЕФРСБ сообщение о результатах соответствующей процедуры (отчет).</w:t>
      </w:r>
    </w:p>
    <w:p>
      <w:pPr>
        <w:pStyle w:val="Normal"/>
        <w:spacing w:lineRule="auto" w:line="240" w:before="0" w:afterAutospacing="0" w:after="0"/>
        <w:ind w:firstLine="708"/>
        <w:jc w:val="both"/>
        <w:rPr>
          <w:rFonts w:ascii="Times New Roman" w:hAnsi="Times New Roman" w:cs="Times New Roman"/>
          <w:sz w:val="28"/>
          <w:szCs w:val="28"/>
          <w:highlight w:val="none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Normal"/>
        <w:spacing w:lineRule="auto" w:line="240" w:before="0" w:afterAutospacing="0" w:after="0"/>
        <w:ind w:firstLine="708"/>
        <w:jc w:val="both"/>
        <w:rPr>
          <w:rFonts w:ascii="Times New Roman" w:hAnsi="Times New Roman" w:eastAsia="Times New Roman" w:cs="Times New Roman"/>
          <w:sz w:val="28"/>
          <w:szCs w:val="28"/>
          <w:highlight w:val="none"/>
        </w:rPr>
      </w:pPr>
      <w:r>
        <w:rPr>
          <w:rFonts w:eastAsia="Times New Roman" w:cs="Times New Roman" w:ascii="Times New Roman" w:hAnsi="Times New Roman"/>
          <w:sz w:val="28"/>
          <w:szCs w:val="28"/>
        </w:rPr>
        <w:t>Ранее в законодательстве существовала правовая неопределенность относительно момента отсчета этого десятидневного срока. Внесенные правки окончательно устраняют разночтения, привязывая обязанность управляющего к конкретному судебному акту, а не к общей дате завершения процедуры, что делает процесс более четким и контролируемым.</w:t>
      </w:r>
    </w:p>
    <w:p>
      <w:pPr>
        <w:pStyle w:val="Normal"/>
        <w:spacing w:lineRule="auto" w:line="240" w:before="0" w:afterAutospacing="0" w:after="0"/>
        <w:ind w:firstLine="708"/>
        <w:jc w:val="both"/>
        <w:rPr>
          <w:rFonts w:ascii="Times New Roman" w:hAnsi="Times New Roman" w:cs="Times New Roman"/>
          <w:sz w:val="28"/>
          <w:szCs w:val="28"/>
          <w:highlight w:val="none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Normal"/>
        <w:spacing w:lineRule="auto" w:line="240" w:before="0" w:afterAutospacing="0" w:after="0"/>
        <w:ind w:firstLine="708"/>
        <w:jc w:val="both"/>
        <w:rPr>
          <w:rFonts w:ascii="Times New Roman" w:hAnsi="Times New Roman" w:eastAsia="Times New Roman" w:cs="Times New Roman"/>
          <w:sz w:val="28"/>
          <w:szCs w:val="28"/>
          <w:highlight w:val="none"/>
        </w:rPr>
      </w:pPr>
      <w:r>
        <w:rPr>
          <w:rFonts w:eastAsia="Times New Roman" w:cs="Times New Roman" w:ascii="Times New Roman" w:hAnsi="Times New Roman"/>
          <w:sz w:val="28"/>
          <w:szCs w:val="28"/>
        </w:rPr>
        <w:t>Помимо уточнения сроков, на финансовых управляющих возлагаются и новые обязанности по наполнению реестра. Согласно поправкам, в предоставляемых сведениях необходимо в обязательном порядке указывать:</w:t>
      </w:r>
    </w:p>
    <w:p>
      <w:pPr>
        <w:pStyle w:val="Normal"/>
        <w:spacing w:lineRule="auto" w:line="240" w:before="0" w:afterAutospacing="0" w:after="0"/>
        <w:ind w:firstLine="708"/>
        <w:jc w:val="both"/>
        <w:rPr>
          <w:rFonts w:ascii="Times New Roman" w:hAnsi="Times New Roman" w:cs="Times New Roman"/>
          <w:sz w:val="28"/>
          <w:szCs w:val="28"/>
          <w:highlight w:val="none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Normal"/>
        <w:spacing w:lineRule="auto" w:line="240" w:before="0" w:afterAutospacing="0" w:after="0"/>
        <w:ind w:firstLine="708"/>
        <w:jc w:val="both"/>
        <w:rPr>
          <w:rFonts w:ascii="Times New Roman" w:hAnsi="Times New Roman" w:cs="Times New Roman"/>
          <w:sz w:val="28"/>
          <w:szCs w:val="28"/>
          <w:highlight w:val="none"/>
        </w:rPr>
      </w:pPr>
      <w:r>
        <w:rPr>
          <w:rFonts w:eastAsia="Times New Roman" w:cs="Times New Roman" w:ascii="Times New Roman" w:hAnsi="Times New Roman"/>
          <w:sz w:val="28"/>
          <w:szCs w:val="28"/>
        </w:rPr>
        <w:t xml:space="preserve">– </w:t>
      </w:r>
      <w:r>
        <w:rPr>
          <w:rFonts w:eastAsia="Times New Roman" w:cs="Times New Roman" w:ascii="Times New Roman" w:hAnsi="Times New Roman"/>
          <w:sz w:val="28"/>
          <w:szCs w:val="28"/>
        </w:rPr>
        <w:t>о предъявлении кредитором своих требований к должнику, а также о включении заявленных требований в реестр требований кредиторов;</w:t>
      </w:r>
    </w:p>
    <w:p>
      <w:pPr>
        <w:pStyle w:val="Normal"/>
        <w:spacing w:lineRule="auto" w:line="240" w:before="0" w:afterAutospacing="0" w:after="0"/>
        <w:ind w:firstLine="708"/>
        <w:jc w:val="both"/>
        <w:rPr>
          <w:rFonts w:ascii="Times New Roman" w:hAnsi="Times New Roman" w:eastAsia="Times New Roman" w:cs="Times New Roman"/>
          <w:sz w:val="28"/>
          <w:szCs w:val="28"/>
          <w:highlight w:val="none"/>
        </w:rPr>
      </w:pPr>
      <w:r>
        <w:rPr>
          <w:rFonts w:eastAsia="Times New Roman" w:cs="Times New Roman" w:ascii="Times New Roman" w:hAnsi="Times New Roman"/>
          <w:sz w:val="28"/>
          <w:szCs w:val="28"/>
        </w:rPr>
        <w:t xml:space="preserve">– </w:t>
      </w:r>
      <w:r>
        <w:rPr>
          <w:rFonts w:eastAsia="Times New Roman" w:cs="Times New Roman" w:ascii="Times New Roman" w:hAnsi="Times New Roman"/>
          <w:sz w:val="28"/>
          <w:szCs w:val="28"/>
        </w:rPr>
        <w:t>о подаче в арбитражный суд заявления о признании сделки недействительной по основаниям, указанным в настоящем Федеральном законе, о вынесении судебного акта по результатам рассмотрения заявления и судебных актов о его пересмотре.</w:t>
      </w:r>
    </w:p>
    <w:p>
      <w:pPr>
        <w:pStyle w:val="Normal"/>
        <w:spacing w:lineRule="auto" w:line="240" w:before="0" w:afterAutospacing="0" w:after="0"/>
        <w:ind w:firstLine="708"/>
        <w:jc w:val="both"/>
        <w:rPr>
          <w:rFonts w:ascii="Times New Roman" w:hAnsi="Times New Roman" w:cs="Times New Roman"/>
          <w:sz w:val="28"/>
          <w:szCs w:val="28"/>
          <w:highlight w:val="none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Normal"/>
        <w:ind w:firstLine="708"/>
        <w:jc w:val="both"/>
        <w:rPr>
          <w:rFonts w:ascii="Times New Roman" w:hAnsi="Times New Roman" w:eastAsia="Times New Roman" w:cs="Times New Roman"/>
          <w:sz w:val="28"/>
          <w:szCs w:val="28"/>
          <w:highlight w:val="none"/>
        </w:rPr>
      </w:pPr>
      <w:r>
        <w:rPr>
          <w:rFonts w:eastAsia="Times New Roman" w:cs="Times New Roman" w:ascii="Times New Roman" w:hAnsi="Times New Roman"/>
          <w:sz w:val="28"/>
          <w:szCs w:val="28"/>
        </w:rPr>
        <w:t>Указанные меры направлены на обеспечение максимальной открытости каждого этапа процедуры банкротства, что позволит всем участникам процесса оперативно получать актуальную и полную информацию о ходе процедуры банкротства.</w:t>
      </w:r>
    </w:p>
    <w:p>
      <w:pPr>
        <w:pStyle w:val="Normal"/>
        <w:ind w:hanging="0"/>
        <w:jc w:val="both"/>
        <w:rPr>
          <w:rFonts w:ascii="Times New Roman" w:hAnsi="Times New Roman" w:cs="Times New Roman"/>
          <w:sz w:val="28"/>
          <w:szCs w:val="28"/>
          <w:highlight w:val="none"/>
        </w:rPr>
      </w:pPr>
      <w:r>
        <w:rPr/>
        <w:drawing>
          <wp:inline distT="0" distB="0" distL="0" distR="0">
            <wp:extent cx="5253355" cy="5253355"/>
            <wp:effectExtent l="0" t="0" r="0" b="0"/>
            <wp:docPr id="2" name="Изображение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1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3355" cy="5253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40" w:before="0" w:after="0"/>
        <w:ind w:hanging="0"/>
        <w:jc w:val="left"/>
        <w:rPr>
          <w:rFonts w:ascii="Times New Roman" w:hAnsi="Times New Roman" w:eastAsia="Times New Roman" w:cs="Times New Roman"/>
          <w:b/>
          <w:bCs/>
          <w:sz w:val="22"/>
          <w:szCs w:val="22"/>
          <w:highlight w:val="none"/>
          <w:lang w:eastAsia="sk-SK"/>
          <w14:ligatures w14:val="none"/>
        </w:rPr>
      </w:pPr>
      <w:r>
        <w:rPr>
          <w:rFonts w:eastAsia="Times New Roman" w:cs="Times New Roman" w:ascii="Times New Roman" w:hAnsi="Times New Roman"/>
          <w:b/>
          <w:bCs/>
          <w:sz w:val="22"/>
          <w:szCs w:val="22"/>
          <w:lang w:eastAsia="sk-SK"/>
          <w14:ligatures w14:val="none"/>
        </w:rPr>
      </w:r>
    </w:p>
    <w:p>
      <w:pPr>
        <w:pStyle w:val="Normal"/>
        <w:spacing w:lineRule="auto" w:line="240" w:before="0" w:after="0"/>
        <w:ind w:hanging="0"/>
        <w:jc w:val="left"/>
        <w:rPr>
          <w:rFonts w:ascii="Times New Roman" w:hAnsi="Times New Roman" w:eastAsia="Times New Roman" w:cs="Times New Roman"/>
          <w:b/>
          <w:bCs/>
          <w:sz w:val="22"/>
          <w:szCs w:val="22"/>
          <w:highlight w:val="none"/>
          <w:lang w:eastAsia="sk-SK"/>
          <w14:ligatures w14:val="none"/>
        </w:rPr>
      </w:pPr>
      <w:r>
        <w:rPr>
          <w:rFonts w:eastAsia="Times New Roman" w:cs="Times New Roman" w:ascii="Times New Roman" w:hAnsi="Times New Roman"/>
          <w:b/>
          <w:sz w:val="22"/>
          <w:szCs w:val="22"/>
          <w:lang w:eastAsia="sk-SK"/>
        </w:rPr>
        <w:t>Об Управлении Росреестра по Алтайскому краю</w:t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Управление Федеральной службы государственной регистрации, кадастра и картографии по Алтайскому краю (Управление Росреестра по Алтайскому краю) является территориальным органом Федеральной службы государственной регистрации, кадастра и картографии (Росреестр), осуществляющим функции по государственной регистрации прав на недвижимое имущество и сделок с ним, по оказанию государственных услуг в сфере осуществления государственного кадастрового учета недвижимого имущества, землеустройства, государственного мониторинга земель, государственной кадастровой оценке, геодезии и картографии. Выполняет функции по организации единой системы государственного кадастрового учета и государственной регистрации прав на недвижимое имущество, инфраструктуры пространственных данных РФ. Ведомство осуществляет федеральный государственный надзор в области геодезии и картографии, государственный земельный надзор, государственный надзор за деятельностью саморегулируемых организаций кадастровых инженеров, оценщиков и арбитражных управляющих. Подведомственное учреждение Управления - филиал ППК «Роскадастра» по Алтайскому краю. Руководитель Управления</w:t>
      </w:r>
      <w:r>
        <w:rPr>
          <w:rFonts w:eastAsia="Times New Roman" w:cs="Times New Roman" w:ascii="Times New Roman" w:hAnsi="Times New Roman"/>
          <w:color w:val="000000"/>
          <w:sz w:val="22"/>
          <w:szCs w:val="22"/>
          <w:lang w:eastAsia="en-US"/>
        </w:rPr>
        <w:t>, главный регистратор Алтайского края</w:t>
      </w: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 xml:space="preserve"> – Юрий Викторович Калашников.</w:t>
      </w:r>
    </w:p>
    <w:p>
      <w:pPr>
        <w:pStyle w:val="Standard"/>
        <w:jc w:val="left"/>
        <w:rPr>
          <w:rFonts w:ascii="Times New Roman" w:hAnsi="Times New Roman" w:cs="Times New Roman"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 w:ascii="Times New Roman" w:hAnsi="Times New Roman"/>
          <w:b/>
          <w:sz w:val="22"/>
          <w:szCs w:val="22"/>
          <w:lang w:eastAsia="sk-SK"/>
        </w:rPr>
        <w:t>Контакты для СМИ</w:t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Пресс-секретарь Управления Росреестра по Алтайскому краю</w:t>
        <w:br/>
      </w:r>
      <w:r>
        <w:rPr>
          <w:rFonts w:eastAsia="Times New Roman" w:cs="Times New Roman" w:ascii="Times New Roman" w:hAnsi="Times New Roman"/>
          <w:sz w:val="22"/>
          <w:szCs w:val="22"/>
          <w:shd w:fill="FFFFFF" w:val="clear"/>
        </w:rPr>
        <w:t>Бучнева Анжелика Анатольевна 8 (3852) 29 17 44, 5097</w:t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hyperlink r:id="rId4" w:tgtFrame="mailto:22press_rosreestr@mail.ru"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22press_rosreestr@mail.ru</w:t>
        </w:r>
      </w:hyperlink>
      <w:r>
        <w:rPr>
          <w:rFonts w:eastAsia="Times New Roman" w:cs="Times New Roman" w:ascii="Times New Roman" w:hAnsi="Times New Roman"/>
          <w:color w:val="0000FF"/>
          <w:sz w:val="22"/>
          <w:szCs w:val="22"/>
          <w:u w:val="single"/>
          <w:shd w:fill="FFFFFF" w:val="clear"/>
        </w:rPr>
        <w:t xml:space="preserve"> </w:t>
      </w: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656002, Барнаул, ул. Советская, д. 16</w:t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Сайт Росреестра:</w:t>
      </w:r>
      <w:r>
        <w:rPr>
          <w:rFonts w:eastAsia="Times New Roman" w:cs="Times New Roman" w:ascii="Times New Roman" w:hAnsi="Times New Roman"/>
          <w:sz w:val="22"/>
          <w:szCs w:val="22"/>
        </w:rPr>
        <w:t xml:space="preserve"> </w:t>
      </w:r>
      <w:hyperlink r:id="rId5" w:tgtFrame="http://www.rosreestr.gov.ru/"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  <w:lang w:val="en-US"/>
          </w:rPr>
          <w:t>www</w:t>
        </w:r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.</w:t>
        </w:r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  <w:lang w:val="en-US"/>
          </w:rPr>
          <w:t>rosreestr</w:t>
        </w:r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.</w:t>
        </w:r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  <w:lang w:val="en-US"/>
          </w:rPr>
          <w:t>gov</w:t>
        </w:r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.</w:t>
        </w:r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  <w:lang w:val="en-US"/>
          </w:rPr>
          <w:t>ru</w:t>
        </w:r>
      </w:hyperlink>
      <w:r>
        <w:rPr>
          <w:rFonts w:eastAsia="Times New Roman" w:cs="Times New Roman" w:ascii="Times New Roman" w:hAnsi="Times New Roman"/>
          <w:color w:val="0000FF"/>
          <w:sz w:val="22"/>
          <w:szCs w:val="22"/>
          <w:u w:val="single"/>
          <w:shd w:fill="FFFFFF" w:val="clear"/>
        </w:rPr>
        <w:br/>
      </w: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Яндекс-Дзен:</w:t>
      </w:r>
      <w:r>
        <w:rPr>
          <w:rFonts w:eastAsia="Times New Roman" w:cs="Times New Roman" w:ascii="Times New Roman" w:hAnsi="Times New Roman"/>
          <w:sz w:val="22"/>
          <w:szCs w:val="22"/>
        </w:rPr>
        <w:t xml:space="preserve"> </w:t>
      </w:r>
      <w:hyperlink r:id="rId6" w:tgtFrame="https://dzen.ru/id/6392ad9bbc8b8d2fd42961a7"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https://dzen.ru/id/6392ad9bbc8b8d2fd42961a7</w:t>
        </w:r>
      </w:hyperlink>
      <w:r>
        <w:rPr>
          <w:rFonts w:eastAsia="Times New Roman" w:cs="Times New Roman" w:ascii="Times New Roman" w:hAnsi="Times New Roman"/>
          <w:color w:val="0000FF"/>
          <w:sz w:val="22"/>
          <w:szCs w:val="22"/>
          <w:u w:val="single"/>
          <w:shd w:fill="FFFFFF" w:val="clear"/>
        </w:rPr>
        <w:tab/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ВКонтакте:</w:t>
      </w:r>
      <w:r>
        <w:rPr>
          <w:rFonts w:eastAsia="Times New Roman" w:cs="Times New Roman" w:ascii="Times New Roman" w:hAnsi="Times New Roman"/>
          <w:color w:val="0000FF"/>
          <w:sz w:val="22"/>
          <w:szCs w:val="22"/>
          <w:shd w:fill="FFFFFF" w:val="clear"/>
        </w:rPr>
        <w:t xml:space="preserve"> </w:t>
      </w:r>
      <w:hyperlink r:id="rId7" w:tgtFrame="https://vk.com/rosreestr_altaiskii_krai"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https://vk.com/rosreestr_altaiskii_krai</w:t>
        </w:r>
      </w:hyperlink>
      <w:r>
        <w:rPr>
          <w:rFonts w:eastAsia="Times New Roman" w:cs="Times New Roman" w:ascii="Times New Roman" w:hAnsi="Times New Roman"/>
          <w:color w:val="0000FF"/>
          <w:sz w:val="22"/>
          <w:szCs w:val="22"/>
          <w:shd w:fill="FFFFFF" w:val="clear"/>
        </w:rPr>
        <w:t xml:space="preserve"> </w:t>
        <w:br/>
      </w: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Телеграм-канал:</w:t>
      </w:r>
      <w:r>
        <w:rPr>
          <w:rFonts w:eastAsia="Times New Roman" w:cs="Times New Roman" w:ascii="Times New Roman" w:hAnsi="Times New Roman"/>
          <w:color w:val="0000FF"/>
          <w:sz w:val="22"/>
          <w:szCs w:val="22"/>
          <w:u w:val="single"/>
          <w:shd w:fill="FFFFFF" w:val="clear"/>
        </w:rPr>
        <w:t xml:space="preserve"> https://web.telegram.org/k/#@rosreestr_altaiskii_krai</w:t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Одноклассники:</w:t>
      </w:r>
      <w:r>
        <w:rPr>
          <w:rFonts w:eastAsia="Times New Roman" w:cs="Times New Roman" w:ascii="Times New Roman" w:hAnsi="Times New Roman"/>
          <w:color w:val="0000FF"/>
          <w:sz w:val="22"/>
          <w:szCs w:val="22"/>
          <w:u w:val="single"/>
          <w:shd w:fill="FFFFFF" w:val="clear"/>
        </w:rPr>
        <w:t xml:space="preserve"> </w:t>
      </w:r>
      <w:hyperlink r:id="rId8" w:tgtFrame="https://ok.ru/rosreestr22alt.krai"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https://ok.ru/rosreestr22alt.krai</w:t>
        </w:r>
      </w:hyperlink>
    </w:p>
    <w:p>
      <w:pPr>
        <w:pStyle w:val="Normal"/>
        <w:spacing w:before="0" w:after="200"/>
        <w:ind w:hanging="0"/>
        <w:jc w:val="both"/>
        <w:rPr>
          <w:rFonts w:ascii="Times New Roman" w:hAnsi="Times New Roman" w:cs="Times New Roman"/>
          <w:sz w:val="28"/>
          <w:szCs w:val="28"/>
          <w:highlight w:val="none"/>
        </w:rPr>
      </w:pPr>
      <w:r>
        <w:rPr>
          <w:rFonts w:eastAsia="Calibri"/>
          <w:color w:val="0000FF"/>
          <w:sz w:val="20"/>
          <w:u w:val="single"/>
          <w:shd w:fill="FFFFFF" w:val="clear"/>
        </w:rPr>
        <w:t>https://vk.com/video-46688657_45623910</w:t>
      </w:r>
      <w:r>
        <w:rPr>
          <w:rFonts w:cs="Times New Roman" w:ascii="Times New Roman" w:hAnsi="Times New Roman"/>
          <w:sz w:val="28"/>
          <w:szCs w:val="28"/>
        </w:rPr>
        <w:t>.</w:t>
      </w:r>
    </w:p>
    <w:sectPr>
      <w:type w:val="nextPage"/>
      <w:pgSz w:w="11906" w:h="16838"/>
      <w:pgMar w:left="720" w:right="720" w:gutter="0" w:header="0" w:top="720" w:footer="0" w:bottom="720"/>
      <w:pgNumType w:fmt="decimal"/>
      <w:formProt w:val="false"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Arial">
    <w:charset w:val="01"/>
    <w:family w:val="roman"/>
    <w:pitch w:val="default"/>
  </w:font>
  <w:font w:name="PT Astra Serif">
    <w:charset w:val="01"/>
    <w:family w:val="roman"/>
    <w:pitch w:val="default"/>
  </w:font>
  <w:font w:name="Times New Roman">
    <w:charset w:val="01"/>
    <w:family w:val="roman"/>
    <w:pitch w:val="default"/>
  </w:font>
</w:fonts>
</file>

<file path=word/settings.xml><?xml version="1.0" encoding="utf-8"?>
<w:settings xmlns:w="http://schemas.openxmlformats.org/wordprocessingml/2006/main">
  <w:zoom w:percent="140"/>
  <w:defaultTabStop w:val="708"/>
  <w:autoHyphenation w:val="true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en-US" w:eastAsia="zh-CN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Arial" w:hAnsi="Arial" w:eastAsia="Arial" w:cs="Arial" w:asciiTheme="minorHAnsi" w:cstheme="minorBidi" w:eastAsiaTheme="minorHAnsi" w:hAnsiTheme="minorHAnsi"/>
        <w:sz w:val="22"/>
        <w:szCs w:val="22"/>
        <w:lang w:val="ru-RU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59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pPr>
      <w:widowControl/>
      <w:bidi w:val="0"/>
      <w:spacing w:lineRule="auto" w:line="276" w:beforeAutospacing="0" w:before="0" w:afterAutospacing="0" w:after="200"/>
      <w:jc w:val="left"/>
    </w:pPr>
    <w:rPr>
      <w:rFonts w:ascii="Arial" w:hAnsi="Arial" w:eastAsia="Arial" w:cs="Arial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paragraph" w:styleId="1">
    <w:name w:val="Heading 1"/>
    <w:basedOn w:val="Normal"/>
    <w:uiPriority w:val="9"/>
    <w:qFormat/>
    <w:pPr>
      <w:keepNext w:val="true"/>
      <w:keepLines/>
      <w:spacing w:before="480" w:after="200"/>
      <w:outlineLvl w:val="0"/>
    </w:pPr>
    <w:rPr>
      <w:rFonts w:ascii="Arial" w:hAnsi="Arial" w:eastAsia="Arial" w:cs="Arial"/>
      <w:sz w:val="40"/>
      <w:szCs w:val="40"/>
    </w:rPr>
  </w:style>
  <w:style w:type="paragraph" w:styleId="2">
    <w:name w:val="Heading 2"/>
    <w:basedOn w:val="Normal"/>
    <w:uiPriority w:val="9"/>
    <w:unhideWhenUsed/>
    <w:qFormat/>
    <w:pPr>
      <w:keepNext w:val="true"/>
      <w:keepLines/>
      <w:spacing w:before="360" w:after="200"/>
      <w:outlineLvl w:val="1"/>
    </w:pPr>
    <w:rPr>
      <w:rFonts w:ascii="Arial" w:hAnsi="Arial" w:eastAsia="Arial" w:cs="Arial"/>
      <w:sz w:val="34"/>
    </w:rPr>
  </w:style>
  <w:style w:type="paragraph" w:styleId="3">
    <w:name w:val="Heading 3"/>
    <w:basedOn w:val="Normal"/>
    <w:uiPriority w:val="9"/>
    <w:unhideWhenUsed/>
    <w:qFormat/>
    <w:pPr>
      <w:keepNext w:val="true"/>
      <w:keepLines/>
      <w:spacing w:before="320" w:after="200"/>
      <w:outlineLvl w:val="2"/>
    </w:pPr>
    <w:rPr>
      <w:rFonts w:ascii="Arial" w:hAnsi="Arial" w:eastAsia="Arial" w:cs="Arial"/>
      <w:sz w:val="30"/>
      <w:szCs w:val="30"/>
    </w:rPr>
  </w:style>
  <w:style w:type="paragraph" w:styleId="4">
    <w:name w:val="Heading 4"/>
    <w:basedOn w:val="Normal"/>
    <w:uiPriority w:val="9"/>
    <w:unhideWhenUsed/>
    <w:qFormat/>
    <w:pPr>
      <w:keepNext w:val="true"/>
      <w:keepLines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paragraph" w:styleId="5">
    <w:name w:val="Heading 5"/>
    <w:basedOn w:val="Normal"/>
    <w:uiPriority w:val="9"/>
    <w:unhideWhenUsed/>
    <w:qFormat/>
    <w:pPr>
      <w:keepNext w:val="true"/>
      <w:keepLines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paragraph" w:styleId="6">
    <w:name w:val="Heading 6"/>
    <w:basedOn w:val="Normal"/>
    <w:uiPriority w:val="9"/>
    <w:unhideWhenUsed/>
    <w:qFormat/>
    <w:pPr>
      <w:keepNext w:val="true"/>
      <w:keepLines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paragraph" w:styleId="7">
    <w:name w:val="Heading 7"/>
    <w:basedOn w:val="Normal"/>
    <w:uiPriority w:val="9"/>
    <w:unhideWhenUsed/>
    <w:qFormat/>
    <w:pPr>
      <w:keepNext w:val="true"/>
      <w:keepLines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paragraph" w:styleId="8">
    <w:name w:val="Heading 8"/>
    <w:basedOn w:val="Normal"/>
    <w:uiPriority w:val="9"/>
    <w:unhideWhenUsed/>
    <w:qFormat/>
    <w:pPr>
      <w:keepNext w:val="true"/>
      <w:keepLines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paragraph" w:styleId="9">
    <w:name w:val="Heading 9"/>
    <w:basedOn w:val="Normal"/>
    <w:uiPriority w:val="9"/>
    <w:unhideWhenUsed/>
    <w:qFormat/>
    <w:pPr>
      <w:keepNext w:val="true"/>
      <w:keepLines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Heading1Char">
    <w:name w:val="Heading 1 Char"/>
    <w:uiPriority w:val="9"/>
    <w:qFormat/>
    <w:rPr>
      <w:rFonts w:ascii="Arial" w:hAnsi="Arial" w:eastAsia="Arial" w:cs="Arial"/>
      <w:sz w:val="40"/>
      <w:szCs w:val="40"/>
    </w:rPr>
  </w:style>
  <w:style w:type="character" w:styleId="Heading2Char">
    <w:name w:val="Heading 2 Char"/>
    <w:uiPriority w:val="9"/>
    <w:qFormat/>
    <w:rPr>
      <w:rFonts w:ascii="Arial" w:hAnsi="Arial" w:eastAsia="Arial" w:cs="Arial"/>
      <w:sz w:val="34"/>
    </w:rPr>
  </w:style>
  <w:style w:type="character" w:styleId="Heading3Char">
    <w:name w:val="Heading 3 Char"/>
    <w:uiPriority w:val="9"/>
    <w:qFormat/>
    <w:rPr>
      <w:rFonts w:ascii="Arial" w:hAnsi="Arial" w:eastAsia="Arial" w:cs="Arial"/>
      <w:sz w:val="30"/>
      <w:szCs w:val="30"/>
    </w:rPr>
  </w:style>
  <w:style w:type="character" w:styleId="Heading4Char">
    <w:name w:val="Heading 4 Char"/>
    <w:uiPriority w:val="9"/>
    <w:qFormat/>
    <w:rPr>
      <w:rFonts w:ascii="Arial" w:hAnsi="Arial" w:eastAsia="Arial" w:cs="Arial"/>
      <w:b/>
      <w:bCs/>
      <w:sz w:val="26"/>
      <w:szCs w:val="26"/>
    </w:rPr>
  </w:style>
  <w:style w:type="character" w:styleId="Heading5Char">
    <w:name w:val="Heading 5 Char"/>
    <w:uiPriority w:val="9"/>
    <w:qFormat/>
    <w:rPr>
      <w:rFonts w:ascii="Arial" w:hAnsi="Arial" w:eastAsia="Arial" w:cs="Arial"/>
      <w:b/>
      <w:bCs/>
      <w:sz w:val="24"/>
      <w:szCs w:val="24"/>
    </w:rPr>
  </w:style>
  <w:style w:type="character" w:styleId="Heading6Char">
    <w:name w:val="Heading 6 Char"/>
    <w:uiPriority w:val="9"/>
    <w:qFormat/>
    <w:rPr>
      <w:rFonts w:ascii="Arial" w:hAnsi="Arial" w:eastAsia="Arial" w:cs="Arial"/>
      <w:b/>
      <w:bCs/>
      <w:sz w:val="22"/>
      <w:szCs w:val="22"/>
    </w:rPr>
  </w:style>
  <w:style w:type="character" w:styleId="Heading7Char">
    <w:name w:val="Heading 7 Char"/>
    <w:uiPriority w:val="9"/>
    <w:qFormat/>
    <w:rPr>
      <w:rFonts w:ascii="Arial" w:hAnsi="Arial" w:eastAsia="Arial" w:cs="Arial"/>
      <w:b/>
      <w:bCs/>
      <w:i/>
      <w:iCs/>
      <w:sz w:val="22"/>
      <w:szCs w:val="22"/>
    </w:rPr>
  </w:style>
  <w:style w:type="character" w:styleId="Heading8Char">
    <w:name w:val="Heading 8 Char"/>
    <w:uiPriority w:val="9"/>
    <w:qFormat/>
    <w:rPr>
      <w:rFonts w:ascii="Arial" w:hAnsi="Arial" w:eastAsia="Arial" w:cs="Arial"/>
      <w:i/>
      <w:iCs/>
      <w:sz w:val="22"/>
      <w:szCs w:val="22"/>
    </w:rPr>
  </w:style>
  <w:style w:type="character" w:styleId="Heading9Char">
    <w:name w:val="Heading 9 Char"/>
    <w:uiPriority w:val="9"/>
    <w:qFormat/>
    <w:rPr>
      <w:rFonts w:ascii="Arial" w:hAnsi="Arial" w:eastAsia="Arial" w:cs="Arial"/>
      <w:i/>
      <w:iCs/>
      <w:sz w:val="21"/>
      <w:szCs w:val="21"/>
    </w:rPr>
  </w:style>
  <w:style w:type="character" w:styleId="TitleChar">
    <w:name w:val="Title Char"/>
    <w:uiPriority w:val="10"/>
    <w:qFormat/>
    <w:rPr>
      <w:sz w:val="48"/>
      <w:szCs w:val="48"/>
    </w:rPr>
  </w:style>
  <w:style w:type="character" w:styleId="SubtitleChar">
    <w:name w:val="Subtitle Char"/>
    <w:uiPriority w:val="11"/>
    <w:qFormat/>
    <w:rPr>
      <w:sz w:val="24"/>
      <w:szCs w:val="24"/>
    </w:rPr>
  </w:style>
  <w:style w:type="character" w:styleId="QuoteChar">
    <w:name w:val="Quote Char"/>
    <w:uiPriority w:val="29"/>
    <w:qFormat/>
    <w:rPr>
      <w:i/>
    </w:rPr>
  </w:style>
  <w:style w:type="character" w:styleId="IntenseQuoteChar">
    <w:name w:val="Intense Quote Char"/>
    <w:uiPriority w:val="30"/>
    <w:qFormat/>
    <w:rPr>
      <w:i/>
    </w:rPr>
  </w:style>
  <w:style w:type="character" w:styleId="HeaderChar">
    <w:name w:val="Header Char"/>
    <w:uiPriority w:val="99"/>
    <w:qFormat/>
    <w:rPr/>
  </w:style>
  <w:style w:type="character" w:styleId="FooterChar">
    <w:name w:val="Footer Char"/>
    <w:uiPriority w:val="99"/>
    <w:qFormat/>
    <w:rPr/>
  </w:style>
  <w:style w:type="character" w:styleId="CaptionChar">
    <w:name w:val="Caption Char"/>
    <w:uiPriority w:val="99"/>
    <w:qFormat/>
    <w:rPr/>
  </w:style>
  <w:style w:type="character" w:styleId="-">
    <w:name w:val="Hyperlink"/>
    <w:uiPriority w:val="99"/>
    <w:unhideWhenUsed/>
    <w:rPr>
      <w:color w:val="0000FF" w:themeColor="hyperlink"/>
      <w:u w:val="single"/>
    </w:rPr>
  </w:style>
  <w:style w:type="character" w:styleId="FootnoteTextChar">
    <w:name w:val="Footnote Text Char"/>
    <w:uiPriority w:val="99"/>
    <w:qFormat/>
    <w:rPr>
      <w:sz w:val="18"/>
    </w:rPr>
  </w:style>
  <w:style w:type="character" w:styleId="Style5">
    <w:name w:val="Символ сноски"/>
    <w:uiPriority w:val="99"/>
    <w:unhideWhenUsed/>
    <w:qFormat/>
    <w:rPr>
      <w:vertAlign w:val="superscript"/>
    </w:rPr>
  </w:style>
  <w:style w:type="character" w:styleId="Style6">
    <w:name w:val="Footnote Reference"/>
    <w:rPr>
      <w:vertAlign w:val="superscript"/>
    </w:rPr>
  </w:style>
  <w:style w:type="character" w:styleId="EndnoteTextChar">
    <w:name w:val="Endnote Text Char"/>
    <w:uiPriority w:val="99"/>
    <w:qFormat/>
    <w:rPr>
      <w:sz w:val="20"/>
    </w:rPr>
  </w:style>
  <w:style w:type="character" w:styleId="Style7">
    <w:name w:val="Символ концевой сноски"/>
    <w:uiPriority w:val="99"/>
    <w:semiHidden/>
    <w:unhideWhenUsed/>
    <w:qFormat/>
    <w:rPr>
      <w:vertAlign w:val="superscript"/>
    </w:rPr>
  </w:style>
  <w:style w:type="character" w:styleId="Style8">
    <w:name w:val="Endnote Reference"/>
    <w:rPr>
      <w:vertAlign w:val="superscript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paragraph" w:styleId="Style9">
    <w:name w:val="Заголовок"/>
    <w:basedOn w:val="Normal"/>
    <w:next w:val="Style10"/>
    <w:qFormat/>
    <w:pPr>
      <w:keepNext w:val="true"/>
      <w:spacing w:before="240" w:after="120"/>
    </w:pPr>
    <w:rPr>
      <w:rFonts w:ascii="PT Astra Serif" w:hAnsi="PT Astra Serif" w:eastAsia="Tahoma" w:cs="Noto Sans Devanagari"/>
      <w:sz w:val="28"/>
      <w:szCs w:val="28"/>
    </w:rPr>
  </w:style>
  <w:style w:type="paragraph" w:styleId="Style10">
    <w:name w:val="Body Text"/>
    <w:basedOn w:val="Normal"/>
    <w:pPr>
      <w:spacing w:lineRule="auto" w:line="276" w:before="0" w:after="140"/>
    </w:pPr>
    <w:rPr/>
  </w:style>
  <w:style w:type="paragraph" w:styleId="Style11">
    <w:name w:val="List"/>
    <w:basedOn w:val="Style10"/>
    <w:pPr/>
    <w:rPr>
      <w:rFonts w:ascii="PT Astra Serif" w:hAnsi="PT Astra Serif" w:cs="Noto Sans Devanagari"/>
    </w:rPr>
  </w:style>
  <w:style w:type="paragraph" w:styleId="Style12">
    <w:name w:val="Caption"/>
    <w:basedOn w:val="Normal"/>
    <w:uiPriority w:val="35"/>
    <w:semiHidden/>
    <w:unhideWhenUsed/>
    <w:qFormat/>
    <w:pPr>
      <w:spacing w:lineRule="auto" w:line="276"/>
    </w:pPr>
    <w:rPr>
      <w:b/>
      <w:bCs/>
      <w:color w:val="4F81BD" w:themeColor="accent1"/>
      <w:sz w:val="18"/>
      <w:szCs w:val="18"/>
    </w:rPr>
  </w:style>
  <w:style w:type="paragraph" w:styleId="Style13">
    <w:name w:val="Указатель"/>
    <w:basedOn w:val="Normal"/>
    <w:qFormat/>
    <w:pPr>
      <w:suppressLineNumbers/>
    </w:pPr>
    <w:rPr>
      <w:rFonts w:ascii="PT Astra Serif" w:hAnsi="PT Astra Serif" w:cs="Noto Sans Devanagari"/>
    </w:rPr>
  </w:style>
  <w:style w:type="paragraph" w:styleId="Style14">
    <w:name w:val="Title"/>
    <w:basedOn w:val="Normal"/>
    <w:uiPriority w:val="10"/>
    <w:qFormat/>
    <w:pPr>
      <w:spacing w:before="300" w:after="200"/>
      <w:contextualSpacing/>
    </w:pPr>
    <w:rPr>
      <w:sz w:val="48"/>
      <w:szCs w:val="48"/>
    </w:rPr>
  </w:style>
  <w:style w:type="paragraph" w:styleId="Style15">
    <w:name w:val="Subtitle"/>
    <w:basedOn w:val="Normal"/>
    <w:uiPriority w:val="11"/>
    <w:qFormat/>
    <w:pPr>
      <w:spacing w:before="200" w:after="200"/>
    </w:pPr>
    <w:rPr>
      <w:sz w:val="24"/>
      <w:szCs w:val="24"/>
    </w:rPr>
  </w:style>
  <w:style w:type="paragraph" w:styleId="Quote">
    <w:name w:val="Quote"/>
    <w:basedOn w:val="Normal"/>
    <w:uiPriority w:val="29"/>
    <w:qFormat/>
    <w:pPr>
      <w:ind w:left="720" w:right="720" w:hanging="0"/>
    </w:pPr>
    <w:rPr>
      <w:i/>
    </w:rPr>
  </w:style>
  <w:style w:type="paragraph" w:styleId="IntenseQuote">
    <w:name w:val="Intense Quote"/>
    <w:basedOn w:val="Normal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spacing w:before="0" w:after="200"/>
      <w:ind w:left="720" w:right="720" w:hanging="0"/>
    </w:pPr>
    <w:rPr>
      <w:i/>
    </w:rPr>
  </w:style>
  <w:style w:type="paragraph" w:styleId="Style16">
    <w:name w:val="Колонтитул"/>
    <w:basedOn w:val="Normal"/>
    <w:qFormat/>
    <w:pPr/>
    <w:rPr/>
  </w:style>
  <w:style w:type="paragraph" w:styleId="Style17">
    <w:name w:val="Header"/>
    <w:basedOn w:val="Normal"/>
    <w:uiPriority w:val="99"/>
    <w:unhideWhenUsed/>
    <w:pPr>
      <w:tabs>
        <w:tab w:val="clear" w:pos="708"/>
        <w:tab w:val="center" w:pos="7143" w:leader="none"/>
        <w:tab w:val="right" w:pos="14287" w:leader="none"/>
      </w:tabs>
      <w:spacing w:lineRule="auto" w:line="240" w:before="0" w:after="0"/>
    </w:pPr>
    <w:rPr/>
  </w:style>
  <w:style w:type="paragraph" w:styleId="Style18">
    <w:name w:val="Footer"/>
    <w:basedOn w:val="Normal"/>
    <w:uiPriority w:val="99"/>
    <w:unhideWhenUsed/>
    <w:pPr>
      <w:tabs>
        <w:tab w:val="clear" w:pos="708"/>
        <w:tab w:val="center" w:pos="7143" w:leader="none"/>
        <w:tab w:val="right" w:pos="14287" w:leader="none"/>
      </w:tabs>
      <w:spacing w:lineRule="auto" w:line="240" w:before="0" w:after="0"/>
    </w:pPr>
    <w:rPr/>
  </w:style>
  <w:style w:type="paragraph" w:styleId="Style19">
    <w:name w:val="Footnote Text"/>
    <w:basedOn w:val="Normal"/>
    <w:uiPriority w:val="99"/>
    <w:semiHidden/>
    <w:unhideWhenUsed/>
    <w:pPr>
      <w:spacing w:lineRule="auto" w:line="240" w:before="0" w:after="40"/>
    </w:pPr>
    <w:rPr>
      <w:sz w:val="18"/>
    </w:rPr>
  </w:style>
  <w:style w:type="paragraph" w:styleId="Style20">
    <w:name w:val="Endnote Text"/>
    <w:basedOn w:val="Normal"/>
    <w:uiPriority w:val="99"/>
    <w:semiHidden/>
    <w:unhideWhenUsed/>
    <w:pPr>
      <w:spacing w:lineRule="auto" w:line="240" w:before="0" w:after="0"/>
    </w:pPr>
    <w:rPr>
      <w:sz w:val="20"/>
    </w:rPr>
  </w:style>
  <w:style w:type="paragraph" w:styleId="11">
    <w:name w:val="TOC 1"/>
    <w:basedOn w:val="Normal"/>
    <w:uiPriority w:val="39"/>
    <w:unhideWhenUsed/>
    <w:pPr>
      <w:spacing w:before="0" w:after="57"/>
      <w:ind w:left="0" w:right="0" w:hanging="0"/>
    </w:pPr>
    <w:rPr/>
  </w:style>
  <w:style w:type="paragraph" w:styleId="21">
    <w:name w:val="TOC 2"/>
    <w:basedOn w:val="Normal"/>
    <w:uiPriority w:val="39"/>
    <w:unhideWhenUsed/>
    <w:pPr>
      <w:spacing w:before="0" w:after="57"/>
      <w:ind w:left="283" w:right="0" w:hanging="0"/>
    </w:pPr>
    <w:rPr/>
  </w:style>
  <w:style w:type="paragraph" w:styleId="31">
    <w:name w:val="TOC 3"/>
    <w:basedOn w:val="Normal"/>
    <w:uiPriority w:val="39"/>
    <w:unhideWhenUsed/>
    <w:pPr>
      <w:spacing w:before="0" w:after="57"/>
      <w:ind w:left="567" w:right="0" w:hanging="0"/>
    </w:pPr>
    <w:rPr/>
  </w:style>
  <w:style w:type="paragraph" w:styleId="41">
    <w:name w:val="TOC 4"/>
    <w:basedOn w:val="Normal"/>
    <w:uiPriority w:val="39"/>
    <w:unhideWhenUsed/>
    <w:pPr>
      <w:spacing w:before="0" w:after="57"/>
      <w:ind w:left="850" w:right="0" w:hanging="0"/>
    </w:pPr>
    <w:rPr/>
  </w:style>
  <w:style w:type="paragraph" w:styleId="51">
    <w:name w:val="TOC 5"/>
    <w:basedOn w:val="Normal"/>
    <w:uiPriority w:val="39"/>
    <w:unhideWhenUsed/>
    <w:pPr>
      <w:spacing w:before="0" w:after="57"/>
      <w:ind w:left="1134" w:right="0" w:hanging="0"/>
    </w:pPr>
    <w:rPr/>
  </w:style>
  <w:style w:type="paragraph" w:styleId="61">
    <w:name w:val="TOC 6"/>
    <w:basedOn w:val="Normal"/>
    <w:uiPriority w:val="39"/>
    <w:unhideWhenUsed/>
    <w:pPr>
      <w:spacing w:before="0" w:after="57"/>
      <w:ind w:left="1417" w:right="0" w:hanging="0"/>
    </w:pPr>
    <w:rPr/>
  </w:style>
  <w:style w:type="paragraph" w:styleId="71">
    <w:name w:val="TOC 7"/>
    <w:basedOn w:val="Normal"/>
    <w:uiPriority w:val="39"/>
    <w:unhideWhenUsed/>
    <w:pPr>
      <w:spacing w:before="0" w:after="57"/>
      <w:ind w:left="1701" w:right="0" w:hanging="0"/>
    </w:pPr>
    <w:rPr/>
  </w:style>
  <w:style w:type="paragraph" w:styleId="81">
    <w:name w:val="TOC 8"/>
    <w:basedOn w:val="Normal"/>
    <w:uiPriority w:val="39"/>
    <w:unhideWhenUsed/>
    <w:pPr>
      <w:spacing w:before="0" w:after="57"/>
      <w:ind w:left="1984" w:right="0" w:hanging="0"/>
    </w:pPr>
    <w:rPr/>
  </w:style>
  <w:style w:type="paragraph" w:styleId="91">
    <w:name w:val="TOC 9"/>
    <w:basedOn w:val="Normal"/>
    <w:uiPriority w:val="39"/>
    <w:unhideWhenUsed/>
    <w:pPr>
      <w:spacing w:before="0" w:after="57"/>
      <w:ind w:left="2268" w:right="0" w:hanging="0"/>
    </w:pPr>
    <w:rPr/>
  </w:style>
  <w:style w:type="paragraph" w:styleId="Style21">
    <w:name w:val="Index Heading"/>
    <w:basedOn w:val="Style9"/>
    <w:pPr/>
    <w:rPr/>
  </w:style>
  <w:style w:type="paragraph" w:styleId="Style22">
    <w:name w:val="TOC Heading"/>
    <w:uiPriority w:val="39"/>
    <w:unhideWhenUsed/>
    <w:pPr>
      <w:widowControl/>
      <w:bidi w:val="0"/>
      <w:spacing w:lineRule="auto" w:line="276" w:beforeAutospacing="0" w:before="0" w:afterAutospacing="0" w:after="200"/>
      <w:jc w:val="left"/>
    </w:pPr>
    <w:rPr>
      <w:rFonts w:ascii="Arial" w:hAnsi="Arial" w:eastAsia="Arial" w:cs="Arial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paragraph" w:styleId="Tableoffigures">
    <w:name w:val="table of figures"/>
    <w:basedOn w:val="Normal"/>
    <w:uiPriority w:val="99"/>
    <w:unhideWhenUsed/>
    <w:qFormat/>
    <w:pPr>
      <w:spacing w:before="0" w:afterAutospacing="0" w:after="0"/>
    </w:pPr>
    <w:rPr/>
  </w:style>
  <w:style w:type="paragraph" w:styleId="NoSpacing">
    <w:name w:val="No Spacing"/>
    <w:basedOn w:val="Normal"/>
    <w:uiPriority w:val="1"/>
    <w:qFormat/>
    <w:pPr>
      <w:spacing w:lineRule="auto" w:line="240" w:before="0" w:after="0"/>
    </w:pPr>
    <w:rPr/>
  </w:style>
  <w:style w:type="paragraph" w:styleId="ListParagraph">
    <w:name w:val="List Paragraph"/>
    <w:basedOn w:val="Normal"/>
    <w:uiPriority w:val="34"/>
    <w:qFormat/>
    <w:pPr>
      <w:spacing w:before="0" w:after="200"/>
      <w:ind w:left="720" w:hanging="0"/>
      <w:contextualSpacing/>
    </w:pPr>
    <w:rPr/>
  </w:style>
  <w:style w:type="paragraph" w:styleId="Standard" w:customStyle="1">
    <w:name w:val="Standard"/>
    <w:qFormat/>
    <w:pPr>
      <w:keepNext w:val="false"/>
      <w:keepLines w:val="false"/>
      <w:pageBreakBefore w:val="false"/>
      <w:widowControl w:val="false"/>
      <w:pBdr/>
      <w:shd w:val="nil" w:color="000000"/>
      <w:bidi w:val="0"/>
      <w:spacing w:lineRule="auto" w:line="240" w:beforeAutospacing="0" w:before="0" w:afterAutospacing="0" w:after="0"/>
      <w:ind w:left="0" w:right="0" w:hanging="0"/>
      <w:jc w:val="left"/>
    </w:pPr>
    <w:rPr>
      <w:rFonts w:ascii="Arial" w:hAnsi="Arial" w:eastAsia="Andale Sans UI" w:cs="Arial"/>
      <w:b w:val="false"/>
      <w:bCs w:val="false"/>
      <w:i w:val="false"/>
      <w:iCs w:val="false"/>
      <w:caps w:val="false"/>
      <w:smallCaps w:val="false"/>
      <w:strike w:val="false"/>
      <w:dstrike w:val="false"/>
      <w:vanish w:val="false"/>
      <w:color w:val="auto"/>
      <w:spacing w:val="0"/>
      <w:kern w:val="0"/>
      <w:position w:val="0"/>
      <w:sz w:val="24"/>
      <w:sz w:val="24"/>
      <w:szCs w:val="24"/>
      <w:u w:val="none"/>
      <w:vertAlign w:val="baseline"/>
      <w:lang w:val="ru-RU" w:eastAsia="zh-CN" w:bidi="hi-IN"/>
      <w14:ligatures w14:val="none"/>
    </w:rPr>
  </w:style>
  <w:style w:type="numbering" w:styleId="NoList" w:default="1">
    <w:name w:val="No List"/>
    <w:uiPriority w:val="99"/>
    <w:semiHidden/>
    <w:unhideWhenUsed/>
    <w:qFormat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png"/><Relationship Id="rId4" Type="http://schemas.openxmlformats.org/officeDocument/2006/relationships/hyperlink" Target="mailto:22press_rosreestr@mail.ru" TargetMode="External"/><Relationship Id="rId5" Type="http://schemas.openxmlformats.org/officeDocument/2006/relationships/hyperlink" Target="http://www.rosreestr.gov.ru/" TargetMode="External"/><Relationship Id="rId6" Type="http://schemas.openxmlformats.org/officeDocument/2006/relationships/hyperlink" Target="https://dzen.ru/id/6392ad9bbc8b8d2fd42961a7" TargetMode="External"/><Relationship Id="rId7" Type="http://schemas.openxmlformats.org/officeDocument/2006/relationships/hyperlink" Target="https://vk.com/rosreestr_altaiskii_krai" TargetMode="External"/><Relationship Id="rId8" Type="http://schemas.openxmlformats.org/officeDocument/2006/relationships/hyperlink" Target="https://ok.ru/rosreestr22alt.krai" TargetMode="External"/><Relationship Id="rId9" Type="http://schemas.openxmlformats.org/officeDocument/2006/relationships/fontTable" Target="fontTable.xml"/><Relationship Id="rId10" Type="http://schemas.openxmlformats.org/officeDocument/2006/relationships/settings" Target="settings.xml"/><Relationship Id="rId11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Office Theme">
  <a:themeElements>
    <a:clrScheme name="New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 Classic 2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6350" cap="flat" cmpd="sng" algn="ctr">
          <a:solidFill>
            <a:schemeClr val="phClr">
              <a:shade val="95000"/>
              <a:satMod val="105000"/>
            </a:schemeClr>
          </a:solidFill>
        </a:ln>
        <a:ln w="12700" cap="flat" cmpd="sng" algn="ctr">
          <a:solidFill>
            <a:schemeClr val="phClr"/>
          </a:solidFill>
        </a:ln>
        <a:ln w="19050" cap="flat" cmpd="sng" algn="ctr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Application>LibreOffice/7.5.6.2$Linux_X86_64 LibreOffice_project/50$Build-2</Application>
  <AppVersion>15.0000</AppVersion>
  <Pages>2</Pages>
  <Words>391</Words>
  <Characters>3125</Characters>
  <CharactersWithSpaces>3579</CharactersWithSpaces>
  <Paragraphs>19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dc:description/>
  <dc:language>ru-RU</dc:language>
  <cp:lastModifiedBy/>
  <dcterms:modified xsi:type="dcterms:W3CDTF">2025-09-30T16:48:38Z</dcterms:modified>
  <cp:revision>3</cp:revision>
  <dc:subject/>
  <dc:title/>
</cp:coreProperties>
</file>